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CF" w:rsidRPr="005D42A3" w:rsidRDefault="00BF4FCF" w:rsidP="00F7549F">
      <w:pPr>
        <w:rPr>
          <w:rFonts w:cs="Arial"/>
          <w:sz w:val="24"/>
        </w:rPr>
      </w:pPr>
      <w:r w:rsidRPr="005D42A3">
        <w:rPr>
          <w:rFonts w:ascii="Arial" w:hAnsi="Arial" w:cs="Arial"/>
        </w:rPr>
        <w:t>AEW</w:t>
      </w:r>
      <w:r>
        <w:rPr>
          <w:rFonts w:ascii="Arial" w:hAnsi="Arial" w:cs="Arial"/>
        </w:rPr>
        <w:t xml:space="preserve"> Capital Management</w:t>
      </w:r>
      <w:r w:rsidR="005F7C4B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one of the largest real estate investment managers in the world. </w:t>
      </w:r>
      <w:r w:rsidRPr="005D42A3">
        <w:rPr>
          <w:rFonts w:ascii="Arial" w:hAnsi="Arial" w:cs="Arial"/>
        </w:rPr>
        <w:t>The Firm’s clients include many of the world's leading institutional and private investors.  Globally</w:t>
      </w:r>
      <w:r w:rsidR="005F7C4B">
        <w:rPr>
          <w:rFonts w:ascii="Arial" w:hAnsi="Arial" w:cs="Arial"/>
        </w:rPr>
        <w:t>,</w:t>
      </w:r>
      <w:r w:rsidRPr="005D42A3">
        <w:rPr>
          <w:rFonts w:ascii="Arial" w:hAnsi="Arial" w:cs="Arial"/>
        </w:rPr>
        <w:t xml:space="preserve"> AEW manages </w:t>
      </w:r>
      <w:r w:rsidR="00F7549F">
        <w:rPr>
          <w:rFonts w:ascii="Arial" w:hAnsi="Arial" w:cs="Arial"/>
        </w:rPr>
        <w:t xml:space="preserve">over $80 </w:t>
      </w:r>
      <w:r w:rsidRPr="005D42A3">
        <w:rPr>
          <w:rFonts w:ascii="Arial" w:hAnsi="Arial" w:cs="Arial"/>
        </w:rPr>
        <w:t xml:space="preserve">billion of real estate assets and securities across the risk/return spectrum in both the listed and direct property markets. </w:t>
      </w:r>
    </w:p>
    <w:p w:rsidR="005F7C4B" w:rsidRDefault="00BF4FCF" w:rsidP="005F7C4B">
      <w:pPr>
        <w:spacing w:after="0"/>
      </w:pPr>
      <w:r w:rsidRPr="005D42A3">
        <w:rPr>
          <w:rFonts w:ascii="Arial" w:hAnsi="Arial" w:cs="Arial"/>
        </w:rPr>
        <w:t>AEW</w:t>
      </w:r>
      <w:r>
        <w:rPr>
          <w:rFonts w:ascii="Arial" w:hAnsi="Arial" w:cs="Arial"/>
        </w:rPr>
        <w:t xml:space="preserve"> </w:t>
      </w:r>
      <w:r w:rsidRPr="005D42A3">
        <w:rPr>
          <w:rFonts w:ascii="Arial" w:hAnsi="Arial" w:cs="Arial"/>
        </w:rPr>
        <w:t xml:space="preserve">is currently seeking an </w:t>
      </w:r>
      <w:r w:rsidR="00F7549F">
        <w:rPr>
          <w:rFonts w:ascii="Arial" w:hAnsi="Arial" w:cs="Arial"/>
        </w:rPr>
        <w:t>experienced professional to take the lead on the Firm’s overall ESG&amp; R strategy.  The Firm has long been committed to sustainability initiatives and has a robust and widespread committee supporting a range of internal and external initiatives.  The person in this newly created</w:t>
      </w:r>
      <w:r w:rsidR="006E1789">
        <w:rPr>
          <w:rFonts w:ascii="Arial" w:hAnsi="Arial" w:cs="Arial"/>
        </w:rPr>
        <w:t xml:space="preserve"> Vice President</w:t>
      </w:r>
      <w:r w:rsidR="00F7549F">
        <w:rPr>
          <w:rFonts w:ascii="Arial" w:hAnsi="Arial" w:cs="Arial"/>
        </w:rPr>
        <w:t xml:space="preserve"> position</w:t>
      </w:r>
      <w:r w:rsidR="006E1789">
        <w:rPr>
          <w:rFonts w:ascii="Arial" w:hAnsi="Arial" w:cs="Arial"/>
        </w:rPr>
        <w:t>,</w:t>
      </w:r>
      <w:bookmarkStart w:id="0" w:name="_GoBack"/>
      <w:bookmarkEnd w:id="0"/>
      <w:r w:rsidR="00F7549F">
        <w:rPr>
          <w:rFonts w:ascii="Arial" w:hAnsi="Arial" w:cs="Arial"/>
        </w:rPr>
        <w:t xml:space="preserve"> will</w:t>
      </w:r>
      <w:r w:rsidR="005F7C4B">
        <w:rPr>
          <w:rFonts w:ascii="Arial" w:hAnsi="Arial" w:cs="Arial"/>
        </w:rPr>
        <w:t xml:space="preserve"> evolve and evangelize our efforts both across the firm and with operating partners and vendors.  You </w:t>
      </w:r>
      <w:r w:rsidR="005F7C4B" w:rsidRPr="005F7C4B">
        <w:rPr>
          <w:rFonts w:ascii="Arial" w:hAnsi="Arial" w:cs="Arial"/>
        </w:rPr>
        <w:t>will serve as the internal subject matter expert and project leader for all things ESG+R, leveraging the existing committee in setting and achieving annual goals, actively leading specific initiatives, communicating and implementing process changes and driving adoption of best practices through education and collaboration.</w:t>
      </w:r>
      <w:r w:rsidR="005F7C4B" w:rsidRPr="003A4FEF">
        <w:t xml:space="preserve"> </w:t>
      </w:r>
    </w:p>
    <w:p w:rsidR="005F7C4B" w:rsidRDefault="005F7C4B" w:rsidP="005F7C4B">
      <w:pPr>
        <w:spacing w:after="0"/>
      </w:pPr>
    </w:p>
    <w:p w:rsidR="005F7C4B" w:rsidRPr="005F7C4B" w:rsidRDefault="005F7C4B" w:rsidP="005F7C4B">
      <w:pPr>
        <w:spacing w:after="0"/>
        <w:rPr>
          <w:rFonts w:ascii="Arial" w:hAnsi="Arial" w:cs="Arial"/>
          <w:b/>
        </w:rPr>
      </w:pPr>
      <w:r w:rsidRPr="005F7C4B">
        <w:rPr>
          <w:rFonts w:ascii="Arial" w:hAnsi="Arial" w:cs="Arial"/>
          <w:b/>
        </w:rPr>
        <w:t>Key Responsibilities</w:t>
      </w:r>
      <w:r w:rsidRPr="005F7C4B">
        <w:rPr>
          <w:rFonts w:ascii="Arial" w:hAnsi="Arial" w:cs="Arial"/>
          <w:b/>
        </w:rPr>
        <w:t xml:space="preserve"> include</w:t>
      </w:r>
      <w:r w:rsidRPr="005F7C4B">
        <w:rPr>
          <w:rFonts w:ascii="Arial" w:hAnsi="Arial" w:cs="Arial"/>
          <w:b/>
        </w:rPr>
        <w:t xml:space="preserve">: 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Lead the development of measurable annual ESG+R goals and create corresponding roadmap for AEW Corporate and for AEW managed funds and accounts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Collaborate with internal teams and facilitate annual sustainability report development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 xml:space="preserve">Coordinate data collection efforts that drive goals are in keeping with best practices for the industry 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Perform gap analysis to identify opportunities for improvement; prioritize opportunities and establish an annual roadmap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 xml:space="preserve">Support incorporation of ESG+R considerations into the wider business strategy  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Educate internal and external stakeholders on purpose, mission, impact and value of ESG+R across the enterprise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Keep abreast of industry trends and regulation that impact the business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 xml:space="preserve">Oversee external reporting inclusive of GRESB, PRI, Annual ESG+R reporting and reporting framework such as TCFD 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Direct third-party consultants and vendors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Monitor benchmarking requirements across states/municipalities and ensure adherence among assets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Track green leases, other sustainability metrics and KPIs, diversity statistics among vendors/supply chain, etc. across AEW’s portfolios and assets</w:t>
      </w:r>
    </w:p>
    <w:p w:rsidR="005F7C4B" w:rsidRPr="00533F55" w:rsidRDefault="005F7C4B" w:rsidP="005F7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Work with AEW Securities on ESG+R adherence in the REIT portfolios</w:t>
      </w:r>
    </w:p>
    <w:p w:rsidR="005F7C4B" w:rsidRPr="005F7C4B" w:rsidRDefault="005F7C4B" w:rsidP="005F7C4B">
      <w:pPr>
        <w:spacing w:after="0"/>
        <w:rPr>
          <w:rFonts w:ascii="Arial" w:hAnsi="Arial" w:cs="Arial"/>
        </w:rPr>
      </w:pPr>
    </w:p>
    <w:p w:rsidR="00FE7137" w:rsidRDefault="005F7C4B" w:rsidP="00F754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passionate about ESG and </w:t>
      </w:r>
      <w:r w:rsidR="00533F55">
        <w:rPr>
          <w:rFonts w:ascii="Arial" w:hAnsi="Arial" w:cs="Arial"/>
        </w:rPr>
        <w:t xml:space="preserve">bring </w:t>
      </w:r>
      <w:r>
        <w:rPr>
          <w:rFonts w:ascii="Arial" w:hAnsi="Arial" w:cs="Arial"/>
        </w:rPr>
        <w:t xml:space="preserve">the following </w:t>
      </w:r>
      <w:r w:rsidR="00533F55">
        <w:rPr>
          <w:rFonts w:ascii="Arial" w:hAnsi="Arial" w:cs="Arial"/>
        </w:rPr>
        <w:t>skills and experiences</w:t>
      </w:r>
      <w:r>
        <w:rPr>
          <w:rFonts w:ascii="Arial" w:hAnsi="Arial" w:cs="Arial"/>
        </w:rPr>
        <w:t>, we’d love to hear from you:</w:t>
      </w:r>
    </w:p>
    <w:p w:rsidR="005F7C4B" w:rsidRPr="00533F55" w:rsidRDefault="005F7C4B" w:rsidP="005F7C4B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Demonstrated knowledge of ESG+R trends, reporting and best practices and the ability to effectively and credibly prioritize and advocate processes that contribute to business success</w:t>
      </w:r>
    </w:p>
    <w:p w:rsidR="005F7C4B" w:rsidRPr="00533F55" w:rsidRDefault="005F7C4B" w:rsidP="005F7C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Ability to inspire and influence a cross-functional group of stakeholders</w:t>
      </w:r>
    </w:p>
    <w:p w:rsidR="005F7C4B" w:rsidRPr="00533F55" w:rsidRDefault="005F7C4B" w:rsidP="005F7C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 xml:space="preserve">Experience leading complex projects </w:t>
      </w:r>
    </w:p>
    <w:p w:rsidR="005F7C4B" w:rsidRPr="00533F55" w:rsidRDefault="005F7C4B" w:rsidP="005F7C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 xml:space="preserve">Forward-looking approach that </w:t>
      </w:r>
      <w:proofErr w:type="gramStart"/>
      <w:r w:rsidRPr="00533F55">
        <w:rPr>
          <w:rFonts w:ascii="Arial" w:hAnsi="Arial" w:cs="Arial"/>
          <w:sz w:val="20"/>
          <w:szCs w:val="20"/>
        </w:rPr>
        <w:t>takes into account</w:t>
      </w:r>
      <w:proofErr w:type="gramEnd"/>
      <w:r w:rsidRPr="00533F55">
        <w:rPr>
          <w:rFonts w:ascii="Arial" w:hAnsi="Arial" w:cs="Arial"/>
          <w:sz w:val="20"/>
          <w:szCs w:val="20"/>
        </w:rPr>
        <w:t xml:space="preserve"> current state and sets achievable and aspirational goals and supporting initiatives</w:t>
      </w:r>
    </w:p>
    <w:p w:rsidR="005F7C4B" w:rsidRPr="00533F55" w:rsidRDefault="005F7C4B" w:rsidP="005F7C4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Strong written and verbal communication skills with experience presenting to boards and/or senior level, external stakeholders and business decision makers</w:t>
      </w:r>
    </w:p>
    <w:p w:rsidR="005F7C4B" w:rsidRPr="00533F55" w:rsidRDefault="005F7C4B" w:rsidP="005F7C4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533F55">
        <w:rPr>
          <w:rFonts w:ascii="Arial" w:hAnsi="Arial" w:cs="Arial"/>
          <w:sz w:val="20"/>
          <w:szCs w:val="20"/>
        </w:rPr>
        <w:t>Bachelor’s degree in related field preferred</w:t>
      </w:r>
    </w:p>
    <w:p w:rsidR="00533F55" w:rsidRDefault="00533F55" w:rsidP="00533F55">
      <w:pPr>
        <w:spacing w:after="0"/>
        <w:rPr>
          <w:rFonts w:ascii="Arial" w:hAnsi="Arial" w:cs="Arial"/>
        </w:rPr>
      </w:pPr>
    </w:p>
    <w:p w:rsidR="00533F55" w:rsidRPr="00533F55" w:rsidRDefault="00533F55" w:rsidP="00533F55">
      <w:pPr>
        <w:spacing w:after="0"/>
        <w:rPr>
          <w:rFonts w:ascii="Arial" w:hAnsi="Arial" w:cs="Arial"/>
        </w:rPr>
      </w:pPr>
      <w:r w:rsidRPr="00533F55">
        <w:rPr>
          <w:rFonts w:ascii="Arial" w:hAnsi="Arial" w:cs="Arial"/>
        </w:rPr>
        <w:t xml:space="preserve">Please submit resumes to </w:t>
      </w:r>
      <w:hyperlink r:id="rId5" w:history="1">
        <w:r w:rsidRPr="00533F55">
          <w:rPr>
            <w:rStyle w:val="Hyperlink"/>
            <w:rFonts w:ascii="Arial" w:hAnsi="Arial" w:cs="Arial"/>
          </w:rPr>
          <w:t>jobs@aew.com</w:t>
        </w:r>
      </w:hyperlink>
    </w:p>
    <w:p w:rsidR="00533F55" w:rsidRDefault="00533F55" w:rsidP="00533F55">
      <w:pPr>
        <w:spacing w:after="0"/>
      </w:pPr>
    </w:p>
    <w:p w:rsidR="005F7C4B" w:rsidRPr="005F7C4B" w:rsidRDefault="005F7C4B" w:rsidP="00F7549F">
      <w:pPr>
        <w:rPr>
          <w:rFonts w:ascii="Arial" w:hAnsi="Arial" w:cs="Arial"/>
        </w:rPr>
      </w:pPr>
    </w:p>
    <w:sectPr w:rsidR="005F7C4B" w:rsidRPr="005F7C4B" w:rsidSect="005F7C4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09CB"/>
    <w:multiLevelType w:val="hybridMultilevel"/>
    <w:tmpl w:val="C116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169BB"/>
    <w:multiLevelType w:val="hybridMultilevel"/>
    <w:tmpl w:val="100E6366"/>
    <w:lvl w:ilvl="0" w:tplc="3AF65E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53D27"/>
    <w:multiLevelType w:val="hybridMultilevel"/>
    <w:tmpl w:val="9E42F4C8"/>
    <w:lvl w:ilvl="0" w:tplc="3AF65E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FCF"/>
    <w:rsid w:val="00533F55"/>
    <w:rsid w:val="005F7C4B"/>
    <w:rsid w:val="006E1789"/>
    <w:rsid w:val="00AB46B0"/>
    <w:rsid w:val="00BF4FCF"/>
    <w:rsid w:val="00F7549F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EBCB2"/>
  <w15:chartTrackingRefBased/>
  <w15:docId w15:val="{52384E4F-850A-4B1A-B8FC-F2200B8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BF4FCF"/>
    <w:pPr>
      <w:keepNext/>
      <w:keepLines/>
      <w:spacing w:after="0" w:line="200" w:lineRule="atLeast"/>
      <w:ind w:left="835"/>
      <w:outlineLvl w:val="0"/>
    </w:pPr>
    <w:rPr>
      <w:rFonts w:ascii="Arial" w:eastAsia="Times New Roman" w:hAnsi="Arial" w:cs="Times New Roman"/>
      <w:b/>
      <w:spacing w:val="-1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4FCF"/>
    <w:rPr>
      <w:rFonts w:ascii="Arial" w:eastAsia="Times New Roman" w:hAnsi="Arial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F4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4FCF"/>
  </w:style>
  <w:style w:type="paragraph" w:styleId="ListParagraph">
    <w:name w:val="List Paragraph"/>
    <w:basedOn w:val="Normal"/>
    <w:uiPriority w:val="34"/>
    <w:qFormat/>
    <w:rsid w:val="005F7C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F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3F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a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AEW Capital Management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Sheer</dc:creator>
  <cp:keywords/>
  <dc:description/>
  <cp:lastModifiedBy>Piper Sheer</cp:lastModifiedBy>
  <cp:revision>2</cp:revision>
  <dcterms:created xsi:type="dcterms:W3CDTF">2021-02-22T18:31:00Z</dcterms:created>
  <dcterms:modified xsi:type="dcterms:W3CDTF">2021-02-22T18:49:00Z</dcterms:modified>
</cp:coreProperties>
</file>